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E1" w:rsidRPr="0075077F" w:rsidRDefault="009266E1" w:rsidP="00926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9"/>
        <w:gridCol w:w="3944"/>
      </w:tblGrid>
      <w:tr w:rsidR="009266E1" w:rsidRPr="0075077F" w:rsidTr="007D62E6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9266E1" w:rsidRPr="0075077F" w:rsidRDefault="009266E1" w:rsidP="0092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fr-FR"/>
              </w:rPr>
              <w:t>P</w:t>
            </w:r>
            <w:r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fr-FR"/>
              </w:rPr>
              <w:t xml:space="preserve">ARACETAMOL INJ </w:t>
            </w: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PHARMACOCINÉTIQUE</w:t>
            </w: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75077F">
                <w:rPr>
                  <w:rFonts w:ascii="Arial" w:eastAsia="Times New Roman" w:hAnsi="Arial" w:cs="Arial"/>
                  <w:color w:val="0000FF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266E1" w:rsidRPr="0075077F" w:rsidRDefault="009266E1" w:rsidP="00926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Adultes :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Absorption :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pharmacocinétique du paracétamol est linéaire jusqu'à 2 g en dose unique et après administration répétée sur 24 heures.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biodisponibilité du paracétamol après perfusion de 500 mg et 1 g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paracétamol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similaire à celle observée après perfusion de 1 g et 2 g de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propacétamol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(contenant 500 mg et 1 g de paracétamol, respectivement).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concentration plasmatique maximale (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Cmax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de paracétamol observée à la fin des 15 minutes de perfusion intraveineuse de 500 mg et 1 g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paracétamol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de l'ordre de 15 µg/ml et 30 µg/ml, respectivement.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Distribution :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volume de distribution du paracétamol est approximativement de 1 l/kg.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liaison aux protéines plasmatiques est faible.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Après perfusion de 1 g de paracétamol, des concentrations significatives de paracétamol (de l'ordre de 1,5 µg/ml) ont été retrouvées dans le liquide céphalorachidien dès la 20</w:t>
      </w:r>
      <w:r w:rsidRPr="0075077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e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minute après la perfusion.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Métabolisme :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paracétamol est métabolisé essentiellement au niveau du foie selon 2 voies hépatiques majeures : la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glycuroconjugaison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la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sulfoconjugaison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Cette dernière voie est rapidement saturable aux posologies supérieures aux doses thérapeutiques. Une faible proportion (moins de 4 %) est transformée par le cytochrome P450 en un intermédiaire réactif (le N-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acétylbenzoquinone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imine) qui, dans les conditions normales d'utilisation, est rapidement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détoxifié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le glutathion réduit et éliminé dans les urines après conjugaison à la cystéine et à l'acide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mercaptopurique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En revanche, lors d'intoxications massives, la quantité de ce métabolite toxique est augmentée.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Élimination :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L'élimination des métabolites du paracétamol est essentiellement urinaire. 90 % de la dose administrée est excrétée dans les urines en 24 heures, principalement sous forme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glycuroconjuguée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(60 à 80 %) et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sulfoconjuguée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(20 à 30 %).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Moins de 5 % est éliminé sous forme inchangée.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demi-vie plasmatique est de 2,7 heures et la clairance corporelle totale est d'environ 18 l/h. </w:t>
      </w:r>
    </w:p>
    <w:p w:rsidR="009266E1" w:rsidRPr="0075077F" w:rsidRDefault="009266E1" w:rsidP="00926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Nouveau-nés, nourrissons et enfants :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paramètres pharmacocinétiques du paracétamol observés chez le nourrisson et l'enfant sont similaires à ceux obtenus chez l'adulte, à l'exception de la demi-vie plasmatique qui est légèrement plus courte (1,5 à 2 heures). Chez le nouveau-né, la demi-vie plasmatique est plus longue que chez le nourrisson, à savoir environ 3,5 heures. Le nouveau-né, le nourrisson et l'enfant jusqu'à 10 ans éliminent significativement moins de dérivés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glycuroconjugués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plus de dérivés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sulfoconjugués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l'adulte.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Tableau : Les valeurs pharmacocinétiques en fonction de l'âge (clairance standardisée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</w:t>
      </w:r>
      <w:r w:rsidRPr="0075077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std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/F</w:t>
      </w:r>
      <w:r w:rsidRPr="0075077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orale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[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l.h</w:t>
      </w:r>
      <w:proofErr w:type="spellEnd"/>
      <w:r w:rsidRPr="0075077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-1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70 kg</w:t>
      </w:r>
      <w:r w:rsidRPr="0075077F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eastAsia="fr-FR"/>
        </w:rPr>
        <w:t>-1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]) sont présentées ci-dessous.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43"/>
        <w:gridCol w:w="1509"/>
        <w:gridCol w:w="3579"/>
      </w:tblGrid>
      <w:tr w:rsidR="009266E1" w:rsidRPr="0075077F" w:rsidTr="007D62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Âge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Poids (kg)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CL</w:t>
            </w:r>
            <w:r w:rsidRPr="00750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std</w:t>
            </w:r>
            <w:proofErr w:type="spellEnd"/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/F</w:t>
            </w:r>
            <w:r w:rsidRPr="00750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orale</w:t>
            </w: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l.h</w:t>
            </w:r>
            <w:proofErr w:type="spellEnd"/>
            <w:r w:rsidRPr="0075077F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70 kg</w:t>
            </w:r>
            <w:r w:rsidRPr="0075077F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fr-FR"/>
              </w:rPr>
              <w:t>-1</w:t>
            </w: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9266E1" w:rsidRPr="0075077F" w:rsidTr="007D62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40 semaines d'aménorrhée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5,9 </w:t>
            </w:r>
          </w:p>
        </w:tc>
      </w:tr>
      <w:tr w:rsidR="009266E1" w:rsidRPr="0075077F" w:rsidTr="007D62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 mois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8,8 </w:t>
            </w:r>
          </w:p>
        </w:tc>
      </w:tr>
      <w:tr w:rsidR="009266E1" w:rsidRPr="0075077F" w:rsidTr="007D62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6 mois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11,1 </w:t>
            </w:r>
          </w:p>
        </w:tc>
      </w:tr>
      <w:tr w:rsidR="009266E1" w:rsidRPr="0075077F" w:rsidTr="007D62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1 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13,6 </w:t>
            </w:r>
          </w:p>
        </w:tc>
      </w:tr>
      <w:tr w:rsidR="009266E1" w:rsidRPr="0075077F" w:rsidTr="007D62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15,6 </w:t>
            </w:r>
          </w:p>
        </w:tc>
      </w:tr>
      <w:tr w:rsidR="009266E1" w:rsidRPr="0075077F" w:rsidTr="007D62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5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16,3 </w:t>
            </w:r>
          </w:p>
        </w:tc>
      </w:tr>
      <w:tr w:rsidR="009266E1" w:rsidRPr="0075077F" w:rsidTr="007D62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8 ans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6E1" w:rsidRPr="0075077F" w:rsidRDefault="009266E1" w:rsidP="007D6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5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16,3 </w:t>
            </w:r>
          </w:p>
        </w:tc>
      </w:tr>
    </w:tbl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CL</w:t>
      </w:r>
      <w:r w:rsidRPr="0075077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fr-FR"/>
        </w:rPr>
        <w:t>std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est l'estimation de la CL pour la population.</w:t>
      </w:r>
    </w:p>
    <w:p w:rsidR="009266E1" w:rsidRPr="0075077F" w:rsidRDefault="009266E1" w:rsidP="00926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Populations particulières :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Insuffisant rénal :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cas d'insuffisance rénale sévère (clairance de la créatinine de 10 à 30 ml/min), l'élimination du paracétamol est légèrement retardée, la demi-vie d'élimination variant de 2 à 5,3 heures. La vitesse d'élimination des dérivés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glycuro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sulfoconjugués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3 fois plus lente chez l'insuffisant rénal sévère que chez le sujet sain.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conséquence, il est recommandé de respecter un intervalle d'au moins 6 heures entre deux administrations chez l'insuffisant rénal sévère (clairance de la créatinine &lt;= 30 ml/min) : </w:t>
      </w:r>
      <w:proofErr w:type="spellStart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Posologie et Mode d'administration.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Sujet âgé :</w:t>
      </w: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266E1" w:rsidRPr="0075077F" w:rsidRDefault="009266E1" w:rsidP="009266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07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pharmacocinétique et le métabolisme du paracétamol ne sont pas modifiés chez le sujet âgé. Aucun ajustement de dose n'est requis dans cette population.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266E1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266E1"/>
    <w:rsid w:val="009D77C6"/>
    <w:rsid w:val="00A85F40"/>
    <w:rsid w:val="00A93A8E"/>
    <w:rsid w:val="00B37108"/>
    <w:rsid w:val="00B53AA5"/>
    <w:rsid w:val="00B93DDF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2013-02-19T17:20:00Z</dcterms:created>
  <dcterms:modified xsi:type="dcterms:W3CDTF">2013-02-19T17:20:00Z</dcterms:modified>
</cp:coreProperties>
</file>